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8" w:rsidRPr="00BE4478" w:rsidRDefault="00BE4478" w:rsidP="00BE4478">
      <w:pPr>
        <w:shd w:val="clear" w:color="auto" w:fill="FFFFFF"/>
        <w:spacing w:after="0" w:line="675" w:lineRule="atLeast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Секретарю регионального отделения</w:t>
      </w:r>
    </w:p>
    <w:p w:rsidR="00F77629" w:rsidRPr="00BE4478" w:rsidRDefault="00BE4478" w:rsidP="00F77629">
      <w:pPr>
        <w:shd w:val="clear" w:color="auto" w:fill="FFFFFF"/>
        <w:spacing w:after="0" w:line="675" w:lineRule="atLeast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партии "Единая Россия"</w:t>
      </w:r>
    </w:p>
    <w:p w:rsidR="00BE4478" w:rsidRPr="00BE4478" w:rsidRDefault="00BE4478" w:rsidP="00F77629">
      <w:pPr>
        <w:shd w:val="clear" w:color="auto" w:fill="FFFFFF"/>
        <w:spacing w:after="0" w:line="675" w:lineRule="atLeast"/>
        <w:jc w:val="right"/>
        <w:outlineLvl w:val="0"/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</w:pPr>
      <w:r w:rsidRPr="00BE4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Михайлову Сергею Петровичу</w:t>
      </w:r>
    </w:p>
    <w:p w:rsidR="00067E69" w:rsidRDefault="00067E69" w:rsidP="00A14832">
      <w:pPr>
        <w:pStyle w:val="1"/>
        <w:shd w:val="clear" w:color="auto" w:fill="FFFFFF"/>
        <w:spacing w:before="225" w:beforeAutospacing="0" w:after="270" w:afterAutospacing="0"/>
        <w:textAlignment w:val="baseline"/>
        <w:rPr>
          <w:b w:val="0"/>
          <w:bCs w:val="0"/>
          <w:color w:val="000000"/>
          <w:sz w:val="24"/>
          <w:szCs w:val="24"/>
        </w:rPr>
      </w:pPr>
    </w:p>
    <w:p w:rsidR="00067E69" w:rsidRDefault="00BE4478" w:rsidP="00067E69">
      <w:pPr>
        <w:pStyle w:val="1"/>
        <w:shd w:val="clear" w:color="auto" w:fill="FFFFFF"/>
        <w:spacing w:before="225" w:beforeAutospacing="0" w:after="270" w:afterAutospacing="0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Уважаемый, Сергей Петрович</w:t>
      </w:r>
      <w:r w:rsidR="00A14832">
        <w:rPr>
          <w:b w:val="0"/>
          <w:bCs w:val="0"/>
          <w:color w:val="000000"/>
          <w:sz w:val="24"/>
          <w:szCs w:val="24"/>
        </w:rPr>
        <w:t>!</w:t>
      </w:r>
    </w:p>
    <w:p w:rsidR="00067E69" w:rsidRDefault="00067E69" w:rsidP="00067E69">
      <w:pPr>
        <w:pStyle w:val="1"/>
        <w:shd w:val="clear" w:color="auto" w:fill="FFFFFF"/>
        <w:spacing w:before="225" w:beforeAutospacing="0" w:after="27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Мы, нижеподписавшиес</w:t>
      </w:r>
      <w:r w:rsidR="00A14832">
        <w:rPr>
          <w:b w:val="0"/>
          <w:bCs w:val="0"/>
          <w:color w:val="000000"/>
          <w:sz w:val="24"/>
          <w:szCs w:val="24"/>
        </w:rPr>
        <w:t>я</w:t>
      </w:r>
      <w:r w:rsidR="00AA4F0B">
        <w:rPr>
          <w:b w:val="0"/>
          <w:bCs w:val="0"/>
          <w:color w:val="000000"/>
          <w:sz w:val="24"/>
          <w:szCs w:val="24"/>
        </w:rPr>
        <w:t xml:space="preserve"> (предприниматели и физические лица)</w:t>
      </w:r>
      <w:r>
        <w:rPr>
          <w:b w:val="0"/>
          <w:bCs w:val="0"/>
          <w:color w:val="000000"/>
          <w:sz w:val="24"/>
          <w:szCs w:val="24"/>
        </w:rPr>
        <w:t xml:space="preserve"> г</w:t>
      </w:r>
      <w:proofErr w:type="gramStart"/>
      <w:r>
        <w:rPr>
          <w:b w:val="0"/>
          <w:bCs w:val="0"/>
          <w:color w:val="000000"/>
          <w:sz w:val="24"/>
          <w:szCs w:val="24"/>
        </w:rPr>
        <w:t>.Ч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иты, просим </w:t>
      </w:r>
      <w:r w:rsidRPr="00EF002E">
        <w:rPr>
          <w:bCs w:val="0"/>
          <w:color w:val="000000"/>
          <w:sz w:val="24"/>
          <w:szCs w:val="24"/>
          <w:u w:val="single"/>
        </w:rPr>
        <w:t>Вас помочь</w:t>
      </w:r>
      <w:r>
        <w:rPr>
          <w:b w:val="0"/>
          <w:bCs w:val="0"/>
          <w:color w:val="000000"/>
          <w:sz w:val="24"/>
          <w:szCs w:val="24"/>
        </w:rPr>
        <w:t xml:space="preserve"> в разрешении сложившейся ситуации по «Налогу на имущества физических лиц».</w:t>
      </w:r>
    </w:p>
    <w:p w:rsidR="00067E69" w:rsidRDefault="00067E69" w:rsidP="00067E6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 w:rsidRPr="00067E69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Распоряжением Департамента государственного имущества и земельных отношений Забайкальского края от 03.11.15 №7443/</w:t>
      </w:r>
      <w:proofErr w:type="spellStart"/>
      <w:proofErr w:type="gramStart"/>
      <w:r w:rsidRPr="00067E69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р</w:t>
      </w:r>
      <w:proofErr w:type="spellEnd"/>
      <w:proofErr w:type="gramEnd"/>
      <w:r w:rsidRPr="00067E69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наше имущество</w:t>
      </w:r>
      <w:r w:rsidRPr="00067E6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(нежилые помещения)</w:t>
      </w:r>
      <w:r w:rsidRPr="00067E69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</w:t>
      </w:r>
      <w:r w:rsidRPr="00067E69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были включен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ы</w:t>
      </w:r>
      <w:r w:rsidRPr="00067E69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в перечень объектов недвижимого имущества на 2016г., указанных в подпунктах 1 и 2 пункта 1 ст.378.2 НК РФ.</w:t>
      </w:r>
    </w:p>
    <w:p w:rsidR="00067E69" w:rsidRDefault="00067E69" w:rsidP="00067E6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Решением Думы городского округа «Город Чита» №71 от 27.11.2014г. была установлена налоговая ставка в отношении объектов налогообложения 2,0 включенных в указанный перечень.</w:t>
      </w:r>
    </w:p>
    <w:p w:rsidR="00AA4F0B" w:rsidRDefault="00067E69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В результате принятия вышеизложенных нормативных актов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Налог на имущество</w:t>
      </w:r>
      <w:r w:rsidR="00AA4F0B" w:rsidRPr="00AA4F0B">
        <w:rPr>
          <w:b/>
          <w:bCs/>
          <w:color w:val="000000"/>
          <w:sz w:val="24"/>
          <w:szCs w:val="24"/>
        </w:rPr>
        <w:t xml:space="preserve"> </w:t>
      </w:r>
      <w:r w:rsidR="00AA4F0B" w:rsidRPr="00CE09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физических лиц</w:t>
      </w:r>
      <w:r w:rsidR="00AA4F0B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 xml:space="preserve"> увеличи</w:t>
      </w:r>
      <w:r w:rsidR="00CE09A5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 xml:space="preserve">лся </w:t>
      </w:r>
      <w:r w:rsidR="00FF1C25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 xml:space="preserve"> </w:t>
      </w:r>
      <w:r w:rsidR="00A11A4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в среднем 20 раз.</w:t>
      </w:r>
      <w:r w:rsidR="00A11A45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</w:t>
      </w:r>
      <w:r w:rsidR="00AA4F0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Сумма налога на имущество определенная за 2016 год</w:t>
      </w:r>
      <w:r w:rsidR="00AA4F0B" w:rsidRPr="00E433C1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</w:t>
      </w:r>
      <w:r w:rsidR="00AA4F0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</w:t>
      </w:r>
      <w:r w:rsidR="00AA4F0B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 xml:space="preserve">является непосильным бременем для нас и ставит всех </w:t>
      </w:r>
      <w:proofErr w:type="gramStart"/>
      <w:r w:rsidR="00AA4F0B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субъектов налогообложения города в неравные условия с другими субъектами</w:t>
      </w:r>
      <w:r w:rsidR="00AA4F0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, а именно с юридическими лицами, т.к. Закон Забайкальского края № 1080-ЗЗК от 18.11.2014г. о внесении изменений в Закон Забайкальского края «О налоге на имущество организаций»  установил налоговую ставку в отношении объектов недвижимого имущества, налоговая база которых в соответствии со ст.378.2 НК РФ определяется как их кадастровая стоимость, в 2015</w:t>
      </w:r>
      <w:proofErr w:type="gramEnd"/>
      <w:r w:rsidR="00AA4F0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г.-1,0 процент, в 2016г. – 1,5 процента, в 2017г. и последующие годы – 2,0 процента. </w:t>
      </w:r>
    </w:p>
    <w:p w:rsidR="00AA4F0B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При этом</w:t>
      </w:r>
      <w:proofErr w:type="gramStart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ст. 4.2. Закона №1080-ЗЗК предусмотрено, что «при определении налоговой базы </w:t>
      </w:r>
      <w:proofErr w:type="gramStart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исходя из кадастровой стоимости объектов недвижимого имущества налоговая база уменьшается</w:t>
      </w:r>
      <w:proofErr w:type="gramEnd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на величину кадастровой стоимости 150 кв.м. площади объекта недвижимого имущества по одному объекту на одного налогоплательщика по его выбору. В случаи если при применении налоговой льготы, предусмотренной настоящей статьей, налоговая база принимает отрицательное значение, в целях исчисления налога такая налоговая база принимается равной нулю».</w:t>
      </w:r>
    </w:p>
    <w:p w:rsidR="00AA4F0B" w:rsidRPr="00CE09A5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Таким образом, законодательство предусматривает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право юридических лиц на налоговый вычет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при уплате налога на имущество в то время</w:t>
      </w:r>
      <w:proofErr w:type="gramStart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как физические лица такого права необоснованно лишены. </w:t>
      </w:r>
    </w:p>
    <w:p w:rsidR="00AA4F0B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Считаем также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неоправданно жесткой и высокой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установленную вышеуказанными правовыми актами для жителей </w:t>
      </w:r>
      <w:proofErr w:type="gramStart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. Читы максимальную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ставку налога на имущество в размере 2% от кадастровой стоимости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. В Забайкальском крае условия для осуществления предпринимательской деятельности являются весьма суровыми. Высокие тарифы на коммунальные услуги, низкая покупательская способность населения, слабо развитая инфраструктура, удаленность от экономических центров страны ставят 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lastRenderedPageBreak/>
        <w:t>малый и средний бизнес в тяжелое положение выживания, делают его крайне чувствительным к внешним факторам и увеличению затрат.</w:t>
      </w:r>
    </w:p>
    <w:p w:rsidR="00AA4F0B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В этой связи, установление местными властями максимальной ставки налога на имущество отнюдь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не стимулирует инвестиционную и экономическую привлекательность региона,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а, напротив,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способствуют отто</w:t>
      </w:r>
      <w:r w:rsidR="00A14832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ку капитала и им</w:t>
      </w:r>
      <w:r w:rsid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миграции населения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который в целях выживания вынужден искать более комфортные условия для своей деятельности и инвестиционных вложений.</w:t>
      </w:r>
    </w:p>
    <w:p w:rsidR="00AA4F0B" w:rsidRPr="0038247B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Часть 3 с</w:t>
      </w:r>
      <w:r w:rsidRPr="0038247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тать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и 3 НК РФ устанавливает, что н</w:t>
      </w:r>
      <w:r w:rsidRPr="0038247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алоги и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 xml:space="preserve">сборы должны иметь экономическое основание и не могут быть произвольными. </w:t>
      </w:r>
      <w:r w:rsidRPr="0038247B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Недопустимы налоги и сборы, препятствующие реализации гражданами своих конституционных прав.</w:t>
      </w:r>
    </w:p>
    <w:p w:rsidR="00AA4F0B" w:rsidRPr="00CE09A5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В связи с этим, установленные в Забайкальском крае, в частности в </w:t>
      </w:r>
      <w:proofErr w:type="gramStart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. Чи</w:t>
      </w:r>
      <w:r w:rsidR="00FF1C25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те, размеры и порядок взимания Н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алога на имущ</w:t>
      </w:r>
      <w:r w:rsidR="00FF1C25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ество физических лиц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не является экономически обоснованным, устанавливает дискриминационные различия в праве организаций и граждан пользоваться налоговыми вычетами.</w:t>
      </w:r>
    </w:p>
    <w:p w:rsidR="00FF1C25" w:rsidRPr="00CE09A5" w:rsidRDefault="00CE09A5" w:rsidP="00AA4F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Ко всему выше сказанному нужно обязательно добавить, что</w:t>
      </w:r>
      <w:r w:rsidR="00FF1C25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</w:t>
      </w:r>
      <w:r w:rsidR="00FF1C25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Президент РФ Путин В.В.</w:t>
      </w:r>
      <w:r w:rsidR="00FF1C25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в 2014г. в своем ежегодном послании Федеральному Собранию РФ дословно </w:t>
      </w:r>
      <w:r w:rsidR="00FF1C25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сказал</w:t>
      </w:r>
      <w:r w:rsidR="00FF1C25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следующее: </w:t>
      </w:r>
      <w:r w:rsidR="00FF1C25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«Предлагаю на ближайшие 4года зафиксировать действующие налоговые условия и больше к этому не возвращаться, не менять их»</w:t>
      </w:r>
    </w:p>
    <w:p w:rsidR="00266D6F" w:rsidRDefault="00266D6F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Но видимо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наказы Президент РФ Путина В.В. не указ Депутатам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Думы городского округа «Город Чита» </w:t>
      </w:r>
      <w:r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и в преддверии выборов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они считают, что усиление налогового бремени для граждан нашего города просто необходимо.</w:t>
      </w:r>
    </w:p>
    <w:p w:rsidR="00266D6F" w:rsidRDefault="00EF002E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И позвольте Вам напомнить</w:t>
      </w:r>
      <w:r w:rsidR="00266D6F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, что предприниматели города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, чтобы не стать банкротами,</w:t>
      </w:r>
      <w:r w:rsidR="00266D6F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будут вынуждены заложить расходы в себестоимость своей продукции, работ, услуг </w:t>
      </w:r>
      <w:proofErr w:type="gramStart"/>
      <w:r w:rsidR="00266D6F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и</w:t>
      </w:r>
      <w:proofErr w:type="gramEnd"/>
      <w:r w:rsidR="00266D6F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в конечном счете этот налог </w:t>
      </w:r>
      <w:r w:rsidR="00266D6F" w:rsidRPr="00CE09A5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заплатит конечный потребитель.</w:t>
      </w:r>
    </w:p>
    <w:p w:rsidR="00E62E53" w:rsidRDefault="00E62E53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p w:rsidR="00E62E53" w:rsidRDefault="00E62E53" w:rsidP="00E62E53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На основании вышеизложенного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ПРОСИМ ВАС УБЕДИТЬ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депутатов Думы городского округа «Город Чита» внести изменения в Решение №71 от 27.11.2014г., а именно:</w:t>
      </w:r>
    </w:p>
    <w:p w:rsidR="00E62E53" w:rsidRDefault="00E62E53" w:rsidP="00E62E5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В отношении объектов налогообложения, включенных в перечень, определяемый в соответствии с пунктом 7 ст.378.2 НК РФ, в отношении объектов налогообложения, предусмотренных абзацем вторым пункта 10 ст. 378.2 НК РФ, установить размер налога на имущество: в </w:t>
      </w:r>
      <w:r w:rsidR="00FA564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20</w:t>
      </w:r>
      <w:r w:rsidR="00A14832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16</w:t>
      </w:r>
      <w:r w:rsidR="00FA564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г. и последующих годах – 0,3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процент</w:t>
      </w:r>
    </w:p>
    <w:p w:rsidR="00E62E53" w:rsidRDefault="00E62E53" w:rsidP="00E62E53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p w:rsidR="00E62E53" w:rsidRDefault="00E62E53" w:rsidP="00E62E5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Предусмотреть право предпринимателей и граждан на получение налогового вычета при определении размера налога на имущество по аналогии с налогом на имущество организаций - </w:t>
      </w:r>
      <w:r w:rsidRPr="002023E6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п</w:t>
      </w:r>
      <w:r w:rsidRPr="002023E6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ри определении налоговой базы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</w:t>
      </w:r>
      <w:r w:rsidRPr="002023E6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объектов недвижимого имущества налоговая база уменьшается на величину кадастровой стоимости 150 кв.м</w:t>
      </w:r>
      <w: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.</w:t>
      </w:r>
      <w:r w:rsidRPr="002023E6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площади объекта недвижимого имущества по одному объекту на одного налогоплательщика по его выбору.</w:t>
      </w:r>
      <w:proofErr w:type="gramEnd"/>
      <w:r w:rsidRPr="002023E6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В случаи если при применении налоговой льготы, предусмотренной настоящей статьей, налоговая база принимает отрицательное значение, в целях исчисления налога такая налоговая база принимается равной нулю».</w:t>
      </w:r>
      <w:bookmarkStart w:id="0" w:name="_GoBack"/>
      <w:bookmarkEnd w:id="0"/>
    </w:p>
    <w:p w:rsidR="00FA564A" w:rsidRPr="00FA564A" w:rsidRDefault="00FA564A" w:rsidP="00FA564A">
      <w:pPr>
        <w:pStyle w:val="a4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p w:rsidR="00FA564A" w:rsidRDefault="00FA564A" w:rsidP="00FA564A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  <w:shd w:val="clear" w:color="auto" w:fill="FFFFFF"/>
        </w:rPr>
        <w:t>В случаи принятия такого решения налоговые поступления в городской бюджет вырастут в 3 раза.</w:t>
      </w:r>
    </w:p>
    <w:p w:rsidR="00FA564A" w:rsidRPr="008B3857" w:rsidRDefault="00FA564A" w:rsidP="00FA564A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959"/>
        <w:gridCol w:w="3672"/>
        <w:gridCol w:w="2990"/>
        <w:gridCol w:w="1950"/>
      </w:tblGrid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  <w:t>Фамилия Имя Отчество</w:t>
            </w: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  <w:t>Номер телефона</w:t>
            </w: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925EA5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925EA5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925EA5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925EA5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rPr>
          <w:trHeight w:val="399"/>
        </w:trPr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EF002E" w:rsidTr="00EF002E">
        <w:tc>
          <w:tcPr>
            <w:tcW w:w="959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:rsidR="00EF002E" w:rsidRDefault="00EF002E" w:rsidP="00AA4F0B">
            <w:pPr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</w:tbl>
    <w:p w:rsidR="00E62E53" w:rsidRDefault="00E62E53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p w:rsidR="00AA4F0B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p w:rsidR="00AA4F0B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p w:rsidR="00AA4F0B" w:rsidRDefault="00AA4F0B" w:rsidP="00AA4F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p w:rsidR="00067E69" w:rsidRPr="00067E69" w:rsidRDefault="00067E69" w:rsidP="00067E6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</w:p>
    <w:p w:rsidR="00067E69" w:rsidRPr="00067E69" w:rsidRDefault="00067E69" w:rsidP="00067E69">
      <w:pPr>
        <w:pStyle w:val="1"/>
        <w:shd w:val="clear" w:color="auto" w:fill="FFFFFF"/>
        <w:spacing w:before="225" w:beforeAutospacing="0" w:after="27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:rsidR="00067E69" w:rsidRPr="00067E69" w:rsidRDefault="00067E69" w:rsidP="00067E69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067E69" w:rsidRPr="00067E69" w:rsidRDefault="00067E69" w:rsidP="00067E69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067E69" w:rsidRPr="00067E69" w:rsidRDefault="00067E69" w:rsidP="00067E69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067E69" w:rsidRPr="00067E69" w:rsidRDefault="00067E69" w:rsidP="00067E69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BB745D" w:rsidRPr="00BB745D" w:rsidRDefault="00BB745D" w:rsidP="00BB745D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BB745D" w:rsidRPr="00BB745D" w:rsidRDefault="00BB745D" w:rsidP="00BB745D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BB745D" w:rsidRPr="00BB745D" w:rsidRDefault="00BB745D" w:rsidP="00BB745D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BB745D" w:rsidRDefault="00BB745D" w:rsidP="00BB745D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BB745D" w:rsidRPr="00BB745D" w:rsidRDefault="00BB745D" w:rsidP="00BB745D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8A1485" w:rsidRPr="008A1485" w:rsidRDefault="008A1485" w:rsidP="008A1485">
      <w:pPr>
        <w:pStyle w:val="1"/>
        <w:shd w:val="clear" w:color="auto" w:fill="FFFFFF"/>
        <w:spacing w:before="225" w:beforeAutospacing="0" w:after="270" w:afterAutospacing="0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</w:p>
    <w:p w:rsidR="008A1485" w:rsidRDefault="008A1485" w:rsidP="008A1485">
      <w:pPr>
        <w:shd w:val="clear" w:color="auto" w:fill="FFFFFF"/>
        <w:spacing w:before="225" w:after="27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A1485" w:rsidRPr="008A1485" w:rsidRDefault="008A1485" w:rsidP="008A1485">
      <w:pPr>
        <w:shd w:val="clear" w:color="auto" w:fill="FFFFFF"/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8A1485" w:rsidRPr="008A1485" w:rsidRDefault="008A1485" w:rsidP="008A1485">
      <w:pPr>
        <w:shd w:val="clear" w:color="auto" w:fill="FFFFFF"/>
        <w:spacing w:before="225" w:after="27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A1485" w:rsidRPr="008A1485" w:rsidRDefault="008A1485" w:rsidP="008A148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A1485" w:rsidRPr="008A1485" w:rsidSect="0041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25E3"/>
    <w:multiLevelType w:val="hybridMultilevel"/>
    <w:tmpl w:val="4DE2661C"/>
    <w:lvl w:ilvl="0" w:tplc="1F2C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51EB7"/>
    <w:multiLevelType w:val="multilevel"/>
    <w:tmpl w:val="659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85"/>
    <w:rsid w:val="00067E69"/>
    <w:rsid w:val="002276D4"/>
    <w:rsid w:val="00266D6F"/>
    <w:rsid w:val="00345739"/>
    <w:rsid w:val="00413D8A"/>
    <w:rsid w:val="005248D5"/>
    <w:rsid w:val="008A1485"/>
    <w:rsid w:val="00A11A45"/>
    <w:rsid w:val="00A14832"/>
    <w:rsid w:val="00AA493D"/>
    <w:rsid w:val="00AA4F0B"/>
    <w:rsid w:val="00BB745D"/>
    <w:rsid w:val="00BE4478"/>
    <w:rsid w:val="00CE09A5"/>
    <w:rsid w:val="00E62E53"/>
    <w:rsid w:val="00EA2893"/>
    <w:rsid w:val="00EF002E"/>
    <w:rsid w:val="00F77629"/>
    <w:rsid w:val="00FA564A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8A"/>
  </w:style>
  <w:style w:type="paragraph" w:styleId="1">
    <w:name w:val="heading 1"/>
    <w:basedOn w:val="a"/>
    <w:link w:val="10"/>
    <w:uiPriority w:val="9"/>
    <w:qFormat/>
    <w:rsid w:val="008A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E53"/>
    <w:pPr>
      <w:ind w:left="720"/>
      <w:contextualSpacing/>
    </w:pPr>
  </w:style>
  <w:style w:type="table" w:styleId="a5">
    <w:name w:val="Table Grid"/>
    <w:basedOn w:val="a1"/>
    <w:uiPriority w:val="59"/>
    <w:rsid w:val="00EF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7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2017-10-12T06:03:00Z</cp:lastPrinted>
  <dcterms:created xsi:type="dcterms:W3CDTF">2017-10-12T05:30:00Z</dcterms:created>
  <dcterms:modified xsi:type="dcterms:W3CDTF">2017-10-12T06:03:00Z</dcterms:modified>
</cp:coreProperties>
</file>